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34D" w:rsidRPr="00DE334D" w:rsidRDefault="00DE334D" w:rsidP="00E47E15">
      <w:pPr>
        <w:pStyle w:val="NormalWeb"/>
        <w:spacing w:before="0" w:beforeAutospacing="0" w:after="200" w:afterAutospacing="0"/>
        <w:rPr>
          <w:b/>
        </w:rPr>
      </w:pPr>
      <w:r w:rsidRPr="00DE334D">
        <w:rPr>
          <w:b/>
        </w:rPr>
        <w:t>Abstract:</w:t>
      </w:r>
      <w:r w:rsidR="00774B72">
        <w:rPr>
          <w:b/>
        </w:rPr>
        <w:t xml:space="preserve">   </w:t>
      </w:r>
      <w:r w:rsidR="00774B72" w:rsidRPr="00774B72">
        <w:t xml:space="preserve">Taxpayers with </w:t>
      </w:r>
      <w:r w:rsidR="00774B72" w:rsidRPr="00DE334D">
        <w:rPr>
          <w:bCs/>
        </w:rPr>
        <w:t>investments</w:t>
      </w:r>
      <w:r w:rsidR="00774B72" w:rsidRPr="00DE334D">
        <w:t xml:space="preserve"> outside of tax-advantaged retirement plans</w:t>
      </w:r>
      <w:r w:rsidR="00774B72">
        <w:t xml:space="preserve"> </w:t>
      </w:r>
      <w:r w:rsidR="00774B72" w:rsidRPr="00DE334D">
        <w:t xml:space="preserve">might still have time to </w:t>
      </w:r>
      <w:r w:rsidR="006062DA">
        <w:t>reduce</w:t>
      </w:r>
      <w:r w:rsidR="00774B72" w:rsidRPr="00DE334D">
        <w:t xml:space="preserve"> </w:t>
      </w:r>
      <w:r w:rsidR="00774B72">
        <w:t>their</w:t>
      </w:r>
      <w:r w:rsidR="00774B72" w:rsidRPr="00DE334D">
        <w:t xml:space="preserve"> 2019 tax bill</w:t>
      </w:r>
      <w:r w:rsidR="00774B72">
        <w:t>s</w:t>
      </w:r>
      <w:r w:rsidR="00774B72" w:rsidRPr="00DE334D">
        <w:t xml:space="preserve"> by selling some investments</w:t>
      </w:r>
      <w:r w:rsidR="00774B72">
        <w:t xml:space="preserve">. </w:t>
      </w:r>
      <w:r w:rsidR="006062DA">
        <w:t>One</w:t>
      </w:r>
      <w:r w:rsidR="00774B72">
        <w:t xml:space="preserve"> key question is: </w:t>
      </w:r>
      <w:r w:rsidR="0060585D">
        <w:t>W</w:t>
      </w:r>
      <w:r w:rsidR="00774B72">
        <w:t>hich ones? This article offers sound advice on how to start making the right choices about selling.</w:t>
      </w:r>
    </w:p>
    <w:p w:rsidR="00DE334D" w:rsidRPr="00DE334D" w:rsidRDefault="00DE334D" w:rsidP="007F0CDF">
      <w:pPr>
        <w:rPr>
          <w:b/>
          <w:sz w:val="28"/>
          <w:szCs w:val="28"/>
        </w:rPr>
      </w:pPr>
      <w:r w:rsidRPr="00DE334D">
        <w:rPr>
          <w:b/>
          <w:sz w:val="28"/>
          <w:szCs w:val="28"/>
        </w:rPr>
        <w:t>Act now to save 2019 taxes on your investments</w:t>
      </w:r>
    </w:p>
    <w:p w:rsidR="00DE334D" w:rsidRPr="00883EC5" w:rsidRDefault="00DE334D" w:rsidP="00E47E15">
      <w:pPr>
        <w:pStyle w:val="NormalWeb"/>
        <w:spacing w:before="0" w:beforeAutospacing="0" w:after="200" w:afterAutospacing="0"/>
      </w:pPr>
      <w:r w:rsidRPr="00DE334D">
        <w:rPr>
          <w:bCs/>
        </w:rPr>
        <w:t>Do you have investments</w:t>
      </w:r>
      <w:r w:rsidRPr="00DE334D">
        <w:t xml:space="preserve"> outside of tax-advantaged retirement plans? If so, you might still have time to </w:t>
      </w:r>
      <w:r w:rsidR="006062DA">
        <w:t>reduce</w:t>
      </w:r>
      <w:r w:rsidRPr="00DE334D">
        <w:t xml:space="preserve"> your 2019 tax bill by selling some investments ― you just need to carefully </w:t>
      </w:r>
      <w:r w:rsidRPr="00883EC5">
        <w:t xml:space="preserve">select </w:t>
      </w:r>
      <w:r w:rsidRPr="00883EC5">
        <w:rPr>
          <w:i/>
        </w:rPr>
        <w:t>which</w:t>
      </w:r>
      <w:r w:rsidRPr="00883EC5">
        <w:t xml:space="preserve"> investments you sell. </w:t>
      </w:r>
    </w:p>
    <w:p w:rsidR="00DE334D" w:rsidRPr="00883EC5" w:rsidRDefault="000F75E4" w:rsidP="00E47E15">
      <w:pPr>
        <w:pStyle w:val="NormalWeb"/>
        <w:spacing w:before="0" w:beforeAutospacing="0" w:after="200" w:afterAutospacing="0"/>
      </w:pPr>
      <w:r w:rsidRPr="00883EC5">
        <w:rPr>
          <w:b/>
          <w:bCs/>
        </w:rPr>
        <w:t>Balance</w:t>
      </w:r>
      <w:r w:rsidR="00DE334D" w:rsidRPr="00883EC5">
        <w:rPr>
          <w:b/>
          <w:bCs/>
        </w:rPr>
        <w:t xml:space="preserve"> gains and losses</w:t>
      </w:r>
    </w:p>
    <w:p w:rsidR="00DE334D" w:rsidRPr="00883EC5" w:rsidRDefault="00DE334D" w:rsidP="00E47E15">
      <w:pPr>
        <w:pStyle w:val="NormalWeb"/>
        <w:spacing w:before="0" w:beforeAutospacing="0" w:after="200" w:afterAutospacing="0"/>
      </w:pPr>
      <w:r w:rsidRPr="00883EC5">
        <w:t xml:space="preserve">If you’ve sold investments at a </w:t>
      </w:r>
      <w:r w:rsidRPr="00883EC5">
        <w:rPr>
          <w:i/>
        </w:rPr>
        <w:t>gain</w:t>
      </w:r>
      <w:r w:rsidRPr="00883EC5">
        <w:t xml:space="preserve"> this year, consider selling some losing investments to absorb the gains. This is commonly referred to as “harvesting” losses.</w:t>
      </w:r>
    </w:p>
    <w:p w:rsidR="00DE334D" w:rsidRPr="00883EC5" w:rsidRDefault="00DE334D" w:rsidP="00E47E15">
      <w:pPr>
        <w:pStyle w:val="NormalWeb"/>
        <w:spacing w:before="0" w:beforeAutospacing="0" w:after="200" w:afterAutospacing="0"/>
      </w:pPr>
      <w:r w:rsidRPr="00883EC5">
        <w:t xml:space="preserve">If, however, you’ve sold investments at a </w:t>
      </w:r>
      <w:r w:rsidRPr="00883EC5">
        <w:rPr>
          <w:i/>
        </w:rPr>
        <w:t>loss</w:t>
      </w:r>
      <w:r w:rsidRPr="00883EC5">
        <w:t xml:space="preserve"> this year, consider selling other investments in your portfolio that have appreciated, to the extent the gains will be absorbed by the losses. If you believe those appreciated investments have peaked in value</w:t>
      </w:r>
      <w:r w:rsidR="00535D5D" w:rsidRPr="00883EC5">
        <w:t xml:space="preserve">, you’ll </w:t>
      </w:r>
      <w:r w:rsidRPr="00883EC5">
        <w:t xml:space="preserve">essentially lock in the peak value and avoid tax on your gains. </w:t>
      </w:r>
    </w:p>
    <w:p w:rsidR="00DE334D" w:rsidRPr="00883EC5" w:rsidRDefault="00DE334D" w:rsidP="00E47E15">
      <w:pPr>
        <w:pStyle w:val="NormalWeb"/>
        <w:spacing w:before="0" w:beforeAutospacing="0" w:after="200" w:afterAutospacing="0"/>
        <w:rPr>
          <w:b/>
        </w:rPr>
      </w:pPr>
      <w:r w:rsidRPr="00883EC5">
        <w:rPr>
          <w:b/>
        </w:rPr>
        <w:t>Review tax rates</w:t>
      </w:r>
    </w:p>
    <w:p w:rsidR="00DE334D" w:rsidRPr="00883EC5" w:rsidRDefault="00DE334D" w:rsidP="00E47E15">
      <w:pPr>
        <w:pStyle w:val="NormalWeb"/>
        <w:spacing w:before="0" w:beforeAutospacing="0" w:after="200" w:afterAutospacing="0"/>
      </w:pPr>
      <w:r w:rsidRPr="00883EC5">
        <w:t xml:space="preserve">At the federal level, long-term capital gains (on investments held more than one year) are taxed at lower rates than short-term capital gains (on investments held one year or less). The Tax Cuts and Jobs Act (TCJA) retained the 0%, 15% and 20% rates on long-term capital gains. But, through 2025, these rates have their own brackets, instead of aligning with various ordinary-income brackets. For example, </w:t>
      </w:r>
      <w:r w:rsidR="0005146F" w:rsidRPr="00883EC5">
        <w:t xml:space="preserve">for 2019, </w:t>
      </w:r>
      <w:r w:rsidRPr="00883EC5">
        <w:t xml:space="preserve">the thresholds for the top long-term gains rate </w:t>
      </w:r>
      <w:r w:rsidR="0005146F" w:rsidRPr="00883EC5">
        <w:t xml:space="preserve">are </w:t>
      </w:r>
      <w:r w:rsidRPr="00883EC5">
        <w:t>$4</w:t>
      </w:r>
      <w:r w:rsidR="001E2A10" w:rsidRPr="00883EC5">
        <w:t>34</w:t>
      </w:r>
      <w:r w:rsidRPr="00883EC5">
        <w:t>,</w:t>
      </w:r>
      <w:r w:rsidR="001E2A10" w:rsidRPr="00883EC5">
        <w:t>551</w:t>
      </w:r>
      <w:r w:rsidR="0005146F" w:rsidRPr="00883EC5">
        <w:t xml:space="preserve"> for singles, $</w:t>
      </w:r>
      <w:r w:rsidR="00434A33" w:rsidRPr="00883EC5">
        <w:t>461,701</w:t>
      </w:r>
      <w:r w:rsidR="0005146F" w:rsidRPr="00883EC5">
        <w:t xml:space="preserve"> for heads of households and</w:t>
      </w:r>
      <w:r w:rsidRPr="00883EC5">
        <w:t xml:space="preserve"> $4</w:t>
      </w:r>
      <w:r w:rsidR="00434A33" w:rsidRPr="00883EC5">
        <w:t>88,851</w:t>
      </w:r>
      <w:r w:rsidR="0005146F" w:rsidRPr="00883EC5">
        <w:t xml:space="preserve"> for married couples</w:t>
      </w:r>
      <w:r w:rsidR="00535D5D" w:rsidRPr="00883EC5">
        <w:t>.</w:t>
      </w:r>
      <w:r w:rsidR="0005146F" w:rsidRPr="00883EC5">
        <w:t xml:space="preserve"> </w:t>
      </w:r>
    </w:p>
    <w:p w:rsidR="00DE334D" w:rsidRPr="00883EC5" w:rsidRDefault="00DE334D" w:rsidP="007F0CDF">
      <w:pPr>
        <w:pStyle w:val="NormalWeb"/>
        <w:spacing w:before="0" w:beforeAutospacing="0" w:after="200" w:afterAutospacing="0"/>
      </w:pPr>
      <w:r w:rsidRPr="00883EC5">
        <w:t>But the top ordinary-income rate of 37%, which also applies to short-term capital gains, doesn’t go into effect</w:t>
      </w:r>
      <w:r w:rsidR="0077377C" w:rsidRPr="00883EC5">
        <w:t xml:space="preserve"> for 2019</w:t>
      </w:r>
      <w:r w:rsidRPr="00883EC5">
        <w:t xml:space="preserve"> until </w:t>
      </w:r>
      <w:r w:rsidR="0077377C" w:rsidRPr="00883EC5">
        <w:t xml:space="preserve">taxable </w:t>
      </w:r>
      <w:r w:rsidRPr="00883EC5">
        <w:t>income exceeds $</w:t>
      </w:r>
      <w:r w:rsidR="0077377C" w:rsidRPr="00883EC5">
        <w:t>510,300</w:t>
      </w:r>
      <w:r w:rsidRPr="00883EC5">
        <w:t xml:space="preserve"> for singles and heads of households or $</w:t>
      </w:r>
      <w:r w:rsidR="0077377C" w:rsidRPr="00883EC5">
        <w:t>612,350</w:t>
      </w:r>
      <w:r w:rsidRPr="00883EC5">
        <w:t xml:space="preserve"> for joint filers. The TCJA also retain</w:t>
      </w:r>
      <w:r w:rsidR="00774B72" w:rsidRPr="00883EC5">
        <w:t>ed</w:t>
      </w:r>
      <w:r w:rsidRPr="00883EC5">
        <w:t xml:space="preserve"> the 3.8% net investment income tax (NIIT) and its $200,000 and $250,000 thresholds. </w:t>
      </w:r>
    </w:p>
    <w:p w:rsidR="00DE334D" w:rsidRPr="00883EC5" w:rsidRDefault="000F75E4" w:rsidP="00E47E15">
      <w:pPr>
        <w:pStyle w:val="NormalWeb"/>
        <w:spacing w:before="0" w:beforeAutospacing="0" w:after="200" w:afterAutospacing="0"/>
        <w:rPr>
          <w:b/>
        </w:rPr>
      </w:pPr>
      <w:r w:rsidRPr="00883EC5">
        <w:rPr>
          <w:b/>
        </w:rPr>
        <w:t>Check</w:t>
      </w:r>
      <w:r w:rsidR="00DE334D" w:rsidRPr="00883EC5">
        <w:rPr>
          <w:b/>
        </w:rPr>
        <w:t xml:space="preserve"> the netting rules</w:t>
      </w:r>
    </w:p>
    <w:p w:rsidR="00DE334D" w:rsidRPr="00883EC5" w:rsidRDefault="00DE334D" w:rsidP="00E47E15">
      <w:pPr>
        <w:pStyle w:val="NormalWeb"/>
        <w:spacing w:before="0" w:beforeAutospacing="0" w:after="200" w:afterAutospacing="0"/>
      </w:pPr>
      <w:r w:rsidRPr="00883EC5">
        <w:t xml:space="preserve">Before selling investments, consider the netting rules for gains and losses, which depend on whether gains and losses are long term or short term. To determine your net gain or loss for the year, long-term capital losses offset long-term capital gains before they offset short-term capital gains. In the same way, short-term capital losses offset short-term capital gains before they offset long-term capital gains. </w:t>
      </w:r>
    </w:p>
    <w:p w:rsidR="00DE334D" w:rsidRPr="00883EC5" w:rsidRDefault="00DE334D" w:rsidP="00E47E15">
      <w:pPr>
        <w:pStyle w:val="NormalWeb"/>
        <w:spacing w:before="0" w:beforeAutospacing="0" w:after="200" w:afterAutospacing="0"/>
      </w:pPr>
      <w:r w:rsidRPr="00883EC5">
        <w:t>You may use up to $3,000 of total capital losses in excess of total capital gains as a deduction against ordinary income in computing your adjusted gross income. Any remaining net losses are carried forward to future years.</w:t>
      </w:r>
    </w:p>
    <w:p w:rsidR="00DE334D" w:rsidRPr="00883EC5" w:rsidRDefault="000F75E4" w:rsidP="00E47E15">
      <w:pPr>
        <w:pStyle w:val="NormalWeb"/>
        <w:spacing w:before="0" w:beforeAutospacing="0" w:after="200" w:afterAutospacing="0"/>
        <w:rPr>
          <w:b/>
        </w:rPr>
      </w:pPr>
      <w:r w:rsidRPr="00883EC5">
        <w:rPr>
          <w:b/>
        </w:rPr>
        <w:t>Consider everything</w:t>
      </w:r>
    </w:p>
    <w:p w:rsidR="00DE334D" w:rsidRDefault="00DE334D" w:rsidP="00E47E15">
      <w:pPr>
        <w:pStyle w:val="NormalWeb"/>
        <w:spacing w:before="0" w:beforeAutospacing="0" w:after="200" w:afterAutospacing="0"/>
      </w:pPr>
      <w:r w:rsidRPr="00883EC5">
        <w:lastRenderedPageBreak/>
        <w:t xml:space="preserve">Keep in mind that tax considerations </w:t>
      </w:r>
      <w:r w:rsidR="00774B72" w:rsidRPr="00883EC5">
        <w:t xml:space="preserve">alone </w:t>
      </w:r>
      <w:r w:rsidRPr="00883EC5">
        <w:t xml:space="preserve">shouldn’t drive your investment decisions. </w:t>
      </w:r>
      <w:r w:rsidR="00774B72" w:rsidRPr="00883EC5">
        <w:t>A</w:t>
      </w:r>
      <w:r w:rsidRPr="00883EC5">
        <w:t>lso consider factors such as your risk tolerance</w:t>
      </w:r>
      <w:r w:rsidR="00A87AB1" w:rsidRPr="00883EC5">
        <w:t xml:space="preserve">, </w:t>
      </w:r>
      <w:r w:rsidRPr="00883EC5">
        <w:t>investment goals</w:t>
      </w:r>
      <w:r w:rsidR="00A87AB1" w:rsidRPr="00883EC5">
        <w:t xml:space="preserve"> and the long-term potential of the investment</w:t>
      </w:r>
      <w:r w:rsidRPr="00883EC5">
        <w:t>. We can help you determine what makes sense for</w:t>
      </w:r>
      <w:r w:rsidRPr="00DE334D">
        <w:t xml:space="preserve"> you.</w:t>
      </w:r>
    </w:p>
    <w:p w:rsidR="00883EC5" w:rsidRPr="00883EC5" w:rsidRDefault="00883EC5" w:rsidP="00E47E15">
      <w:pPr>
        <w:pStyle w:val="NormalWeb"/>
        <w:spacing w:before="0" w:beforeAutospacing="0" w:after="200" w:afterAutospacing="0"/>
        <w:rPr>
          <w:i/>
        </w:rPr>
      </w:pPr>
      <w:r>
        <w:t xml:space="preserve">© </w:t>
      </w:r>
      <w:r>
        <w:rPr>
          <w:i/>
        </w:rPr>
        <w:t>2019</w:t>
      </w:r>
      <w:bookmarkStart w:id="0" w:name="_GoBack"/>
      <w:bookmarkEnd w:id="0"/>
    </w:p>
    <w:sectPr w:rsidR="00883EC5" w:rsidRPr="00883EC5" w:rsidSect="0088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46E2"/>
    <w:multiLevelType w:val="hybridMultilevel"/>
    <w:tmpl w:val="688E71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4D"/>
    <w:rsid w:val="0005146F"/>
    <w:rsid w:val="000F75E4"/>
    <w:rsid w:val="001E141B"/>
    <w:rsid w:val="001E2A10"/>
    <w:rsid w:val="002D4BEB"/>
    <w:rsid w:val="00434A33"/>
    <w:rsid w:val="00535D5D"/>
    <w:rsid w:val="00576D9F"/>
    <w:rsid w:val="005E01F0"/>
    <w:rsid w:val="0060585D"/>
    <w:rsid w:val="006062DA"/>
    <w:rsid w:val="00731A50"/>
    <w:rsid w:val="0077377C"/>
    <w:rsid w:val="00774B72"/>
    <w:rsid w:val="007F0CDF"/>
    <w:rsid w:val="007F65B7"/>
    <w:rsid w:val="00883EC5"/>
    <w:rsid w:val="00A23165"/>
    <w:rsid w:val="00A87AB1"/>
    <w:rsid w:val="00AB47C4"/>
    <w:rsid w:val="00B22C7F"/>
    <w:rsid w:val="00CE14E0"/>
    <w:rsid w:val="00D5172F"/>
    <w:rsid w:val="00DE334D"/>
    <w:rsid w:val="00E47E15"/>
    <w:rsid w:val="00F01D28"/>
    <w:rsid w:val="00F14EF5"/>
    <w:rsid w:val="00F8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A91C2"/>
  <w15:chartTrackingRefBased/>
  <w15:docId w15:val="{6C93E128-D1DA-4503-91D6-B435365E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34D"/>
    <w:pPr>
      <w:spacing w:before="100" w:beforeAutospacing="1" w:after="100" w:afterAutospacing="1"/>
    </w:pPr>
    <w:rPr>
      <w:rFonts w:eastAsia="Times New Roman" w:cs="Times New Roman"/>
    </w:rPr>
  </w:style>
  <w:style w:type="paragraph" w:styleId="BalloonText">
    <w:name w:val="Balloon Text"/>
    <w:basedOn w:val="Normal"/>
    <w:link w:val="BalloonTextChar"/>
    <w:rsid w:val="007F0CDF"/>
    <w:pPr>
      <w:spacing w:after="0"/>
    </w:pPr>
    <w:rPr>
      <w:rFonts w:ascii="Segoe UI" w:hAnsi="Segoe UI" w:cs="Segoe UI"/>
      <w:sz w:val="18"/>
      <w:szCs w:val="18"/>
    </w:rPr>
  </w:style>
  <w:style w:type="character" w:customStyle="1" w:styleId="BalloonTextChar">
    <w:name w:val="Balloon Text Char"/>
    <w:basedOn w:val="DefaultParagraphFont"/>
    <w:link w:val="BalloonText"/>
    <w:rsid w:val="007F0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2019-09-05T22:04:00Z</dcterms:created>
  <dcterms:modified xsi:type="dcterms:W3CDTF">2019-09-05T22:05:00Z</dcterms:modified>
</cp:coreProperties>
</file>