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62" w:rsidRPr="00304F62" w:rsidRDefault="00304F62" w:rsidP="00737A05">
      <w:pPr>
        <w:rPr>
          <w:b/>
        </w:rPr>
      </w:pPr>
      <w:r w:rsidRPr="00304F62">
        <w:rPr>
          <w:b/>
        </w:rPr>
        <w:t>Abstract:</w:t>
      </w:r>
      <w:r w:rsidR="001A39BA">
        <w:rPr>
          <w:b/>
        </w:rPr>
        <w:t xml:space="preserve"> </w:t>
      </w:r>
      <w:r w:rsidR="00737A05">
        <w:rPr>
          <w:b/>
        </w:rPr>
        <w:t xml:space="preserve">  </w:t>
      </w:r>
      <w:r w:rsidR="001A39BA">
        <w:t xml:space="preserve">A royal flush can be quite a rush. But the IRS casts a wide net when defining gambling income. This brief article outlines the tax impact </w:t>
      </w:r>
      <w:r w:rsidR="00EC6FDB">
        <w:t>of gambling winnings for casual players and how the rules differ for professional gamblers.</w:t>
      </w:r>
    </w:p>
    <w:p w:rsidR="00A81899" w:rsidRDefault="00304F62">
      <w:pPr>
        <w:spacing w:before="0" w:after="200"/>
        <w:rPr>
          <w:sz w:val="28"/>
          <w:szCs w:val="28"/>
        </w:rPr>
      </w:pPr>
      <w:r w:rsidRPr="00304F62">
        <w:rPr>
          <w:b/>
          <w:sz w:val="28"/>
          <w:szCs w:val="28"/>
        </w:rPr>
        <w:t>Know your tax hand when it comes to gambling</w:t>
      </w:r>
    </w:p>
    <w:p w:rsidR="00A81899" w:rsidRDefault="00304F62">
      <w:pPr>
        <w:pStyle w:val="NormalWeb"/>
        <w:spacing w:before="0" w:beforeAutospacing="0" w:after="200" w:afterAutospacing="0"/>
      </w:pPr>
      <w:r>
        <w:t>A royal flush can be quite a rush</w:t>
      </w:r>
      <w:r w:rsidR="000D50A0">
        <w:t>. B</w:t>
      </w:r>
      <w:r>
        <w:t xml:space="preserve">ut </w:t>
      </w:r>
      <w:r w:rsidR="003F6327">
        <w:t xml:space="preserve">the IRS </w:t>
      </w:r>
      <w:r>
        <w:t xml:space="preserve">casts a wide net when defining gambling income. It includes winnings from casinos, horse races, lotteries and raffles, as well as any cash or prizes (appraised at fair market value) from contests. </w:t>
      </w:r>
      <w:r w:rsidR="00E52EC7">
        <w:t>If you participate in any of these activities,</w:t>
      </w:r>
      <w:r>
        <w:t xml:space="preserve"> </w:t>
      </w:r>
      <w:r w:rsidR="00E52EC7">
        <w:t xml:space="preserve">you </w:t>
      </w:r>
      <w:r>
        <w:t xml:space="preserve">must report </w:t>
      </w:r>
      <w:r w:rsidR="000D50A0">
        <w:t xml:space="preserve">such </w:t>
      </w:r>
      <w:r>
        <w:t xml:space="preserve">winnings as income on </w:t>
      </w:r>
      <w:r w:rsidR="00E52EC7">
        <w:t xml:space="preserve">your </w:t>
      </w:r>
      <w:r>
        <w:t>federal return.</w:t>
      </w:r>
    </w:p>
    <w:p w:rsidR="00A81899" w:rsidRDefault="00E52EC7">
      <w:pPr>
        <w:pStyle w:val="NormalWeb"/>
        <w:spacing w:before="0" w:beforeAutospacing="0" w:after="200" w:afterAutospacing="0"/>
      </w:pPr>
      <w:r>
        <w:t>If you’re a c</w:t>
      </w:r>
      <w:r w:rsidR="003F6327">
        <w:t xml:space="preserve">asual </w:t>
      </w:r>
      <w:r w:rsidR="00304F62">
        <w:t>gambler</w:t>
      </w:r>
      <w:r>
        <w:t xml:space="preserve">, </w:t>
      </w:r>
      <w:r w:rsidR="00304F62">
        <w:t xml:space="preserve">report </w:t>
      </w:r>
      <w:r w:rsidR="00906D32">
        <w:t xml:space="preserve">your </w:t>
      </w:r>
      <w:r w:rsidR="00304F62">
        <w:t>winnings as “Other income” on Form 1040.</w:t>
      </w:r>
      <w:r w:rsidR="003F6327">
        <w:t xml:space="preserve"> </w:t>
      </w:r>
      <w:r w:rsidR="00906D32">
        <w:t>Y</w:t>
      </w:r>
      <w:r>
        <w:t xml:space="preserve">ou </w:t>
      </w:r>
      <w:r w:rsidR="00304F62">
        <w:t>may also take an itemized deduction for gambling losses</w:t>
      </w:r>
      <w:r w:rsidR="00906D32">
        <w:t>, but t</w:t>
      </w:r>
      <w:r w:rsidR="00304F62">
        <w:t>he deduction is limited to the amount of winnings</w:t>
      </w:r>
      <w:r w:rsidR="0081526F">
        <w:t>.</w:t>
      </w:r>
    </w:p>
    <w:p w:rsidR="00A81899" w:rsidRDefault="00304F62">
      <w:pPr>
        <w:pStyle w:val="NormalWeb"/>
        <w:spacing w:before="0" w:beforeAutospacing="0" w:after="200" w:afterAutospacing="0"/>
      </w:pPr>
      <w:r>
        <w:t xml:space="preserve">In some cases, </w:t>
      </w:r>
      <w:r w:rsidR="000D50A0">
        <w:t xml:space="preserve">casinos and other </w:t>
      </w:r>
      <w:r>
        <w:t>payers provide IRS Form W-2G, “</w:t>
      </w:r>
      <w:r w:rsidRPr="00AB7028">
        <w:t>Certain Gambling Winnings</w:t>
      </w:r>
      <w:r>
        <w:t>”</w:t>
      </w:r>
      <w:r w:rsidRPr="009F1A5B">
        <w:t xml:space="preserve"> </w:t>
      </w:r>
      <w:r>
        <w:t xml:space="preserve">— particularly if the entity in question withholds federal income tax from winnings. The information from these forms needs to be included on </w:t>
      </w:r>
      <w:r w:rsidR="00E52EC7">
        <w:t xml:space="preserve">your </w:t>
      </w:r>
      <w:r>
        <w:t>tax return.</w:t>
      </w:r>
    </w:p>
    <w:p w:rsidR="00A81899" w:rsidRDefault="001A39BA">
      <w:pPr>
        <w:spacing w:before="0" w:after="200"/>
      </w:pPr>
      <w:r>
        <w:t xml:space="preserve">If you gamble often and actively, </w:t>
      </w:r>
      <w:r w:rsidR="00E52EC7">
        <w:t>you might qualify as a professional gambler, which comes with tax benefits</w:t>
      </w:r>
      <w:r w:rsidR="00906D32">
        <w:t>:</w:t>
      </w:r>
      <w:r>
        <w:t xml:space="preserve"> </w:t>
      </w:r>
      <w:r w:rsidR="00E52EC7">
        <w:t xml:space="preserve">It allows you to </w:t>
      </w:r>
      <w:r w:rsidR="00E52EC7" w:rsidRPr="003C4A59">
        <w:t xml:space="preserve">deduct </w:t>
      </w:r>
      <w:r w:rsidR="00E52EC7">
        <w:t>not only losses, but also wagering-related business expenses —</w:t>
      </w:r>
      <w:r w:rsidR="00E52EC7" w:rsidRPr="003C4A59">
        <w:t xml:space="preserve"> such as transportation, meals and entertainment, </w:t>
      </w:r>
      <w:r w:rsidR="00E52EC7">
        <w:t xml:space="preserve">tournament and casino </w:t>
      </w:r>
      <w:r w:rsidR="00E52EC7" w:rsidRPr="003C4A59">
        <w:t>admission</w:t>
      </w:r>
      <w:r w:rsidR="00E52EC7">
        <w:t>s</w:t>
      </w:r>
      <w:r w:rsidR="00E52EC7" w:rsidRPr="003C4A59">
        <w:t xml:space="preserve">, </w:t>
      </w:r>
      <w:r w:rsidR="00E52EC7">
        <w:t xml:space="preserve">and applicable website and magazine </w:t>
      </w:r>
      <w:r w:rsidR="00E52EC7" w:rsidRPr="003C4A59">
        <w:t>subscription</w:t>
      </w:r>
      <w:r w:rsidR="00E52EC7">
        <w:t xml:space="preserve">s. </w:t>
      </w:r>
    </w:p>
    <w:p w:rsidR="00A81899" w:rsidRDefault="00906D32">
      <w:pPr>
        <w:pStyle w:val="NormalWeb"/>
        <w:spacing w:before="0" w:beforeAutospacing="0" w:after="200" w:afterAutospacing="0"/>
      </w:pPr>
      <w:r>
        <w:t xml:space="preserve">To qualify as a professional, you must be able to demonstrate to </w:t>
      </w:r>
      <w:r w:rsidR="0081526F">
        <w:t>the IRS</w:t>
      </w:r>
      <w:r w:rsidR="001A39BA">
        <w:t xml:space="preserve"> </w:t>
      </w:r>
      <w:r w:rsidR="00304F62">
        <w:t>that a “profit motive” exists. The agency looks at a list of nonexclusive factors when making this determination, including</w:t>
      </w:r>
      <w:r w:rsidR="001A39BA">
        <w:t>:</w:t>
      </w:r>
    </w:p>
    <w:p w:rsidR="00A81899" w:rsidRDefault="001A39BA" w:rsidP="004F307C">
      <w:pPr>
        <w:pStyle w:val="NormalWeb"/>
        <w:numPr>
          <w:ilvl w:val="0"/>
          <w:numId w:val="1"/>
        </w:numPr>
        <w:spacing w:before="0" w:beforeAutospacing="0" w:after="200" w:afterAutospacing="0"/>
        <w:ind w:left="360"/>
      </w:pPr>
      <w:r>
        <w:t>W</w:t>
      </w:r>
      <w:r w:rsidR="00304F62">
        <w:t xml:space="preserve">hether the taxpayer </w:t>
      </w:r>
      <w:r w:rsidR="00D81DF7">
        <w:t>conducts the</w:t>
      </w:r>
      <w:r w:rsidR="00304F62">
        <w:t xml:space="preserve"> gambl</w:t>
      </w:r>
      <w:r>
        <w:t>ing</w:t>
      </w:r>
      <w:r w:rsidR="00D81DF7">
        <w:t xml:space="preserve"> activity</w:t>
      </w:r>
      <w:r>
        <w:t xml:space="preserve"> in a “businesslike” manner,</w:t>
      </w:r>
    </w:p>
    <w:p w:rsidR="00A81899" w:rsidRDefault="001A39BA" w:rsidP="004F307C">
      <w:pPr>
        <w:pStyle w:val="NormalWeb"/>
        <w:numPr>
          <w:ilvl w:val="0"/>
          <w:numId w:val="1"/>
        </w:numPr>
        <w:spacing w:before="0" w:beforeAutospacing="0" w:after="200" w:afterAutospacing="0"/>
        <w:ind w:left="360"/>
      </w:pPr>
      <w:r>
        <w:t>T</w:t>
      </w:r>
      <w:r w:rsidR="00304F62">
        <w:t>he quantity of time spent gambling</w:t>
      </w:r>
      <w:r>
        <w:t>, and</w:t>
      </w:r>
    </w:p>
    <w:p w:rsidR="00A81899" w:rsidRDefault="001A39BA" w:rsidP="004F307C">
      <w:pPr>
        <w:pStyle w:val="NormalWeb"/>
        <w:numPr>
          <w:ilvl w:val="0"/>
          <w:numId w:val="1"/>
        </w:numPr>
        <w:spacing w:before="0" w:beforeAutospacing="0" w:after="200" w:afterAutospacing="0"/>
        <w:ind w:left="360"/>
      </w:pPr>
      <w:r>
        <w:t>H</w:t>
      </w:r>
      <w:r w:rsidR="00304F62">
        <w:t xml:space="preserve">ow much income is earned from </w:t>
      </w:r>
      <w:r w:rsidR="001D6AAD" w:rsidRPr="00933373">
        <w:rPr>
          <w:i/>
        </w:rPr>
        <w:t>non</w:t>
      </w:r>
      <w:r w:rsidR="00304F62" w:rsidRPr="00933373">
        <w:t>gambling</w:t>
      </w:r>
      <w:r w:rsidR="00304F62">
        <w:t xml:space="preserve"> activities.</w:t>
      </w:r>
    </w:p>
    <w:p w:rsidR="00A81899" w:rsidRDefault="00906D32">
      <w:pPr>
        <w:spacing w:before="0" w:after="200"/>
      </w:pPr>
      <w:r>
        <w:t xml:space="preserve">But don’t “go pro” for the tax benefits, since doing so is a major financial risk. </w:t>
      </w:r>
      <w:r w:rsidR="001A39BA">
        <w:t>If you enjoy the occasional game of chance, or particularly if you’re considering gambling as a profession, please contact our firm. We can help you manage the tax impact.</w:t>
      </w:r>
    </w:p>
    <w:p w:rsidR="00933373" w:rsidRPr="00933373" w:rsidRDefault="00933373">
      <w:pPr>
        <w:spacing w:before="0" w:after="200"/>
        <w:rPr>
          <w:i/>
        </w:rPr>
      </w:pPr>
      <w:r>
        <w:t xml:space="preserve">© </w:t>
      </w:r>
      <w:r>
        <w:rPr>
          <w:i/>
        </w:rPr>
        <w:t>2017</w:t>
      </w:r>
    </w:p>
    <w:sectPr w:rsidR="00933373" w:rsidRPr="00933373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217"/>
    <w:multiLevelType w:val="hybridMultilevel"/>
    <w:tmpl w:val="67B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304F62"/>
    <w:rsid w:val="000D50A0"/>
    <w:rsid w:val="000E37DC"/>
    <w:rsid w:val="001A39BA"/>
    <w:rsid w:val="001B53CA"/>
    <w:rsid w:val="001D6AAD"/>
    <w:rsid w:val="00297EE2"/>
    <w:rsid w:val="00304F62"/>
    <w:rsid w:val="003E7859"/>
    <w:rsid w:val="003F6327"/>
    <w:rsid w:val="004356E3"/>
    <w:rsid w:val="004F307C"/>
    <w:rsid w:val="005E0EE0"/>
    <w:rsid w:val="005E624D"/>
    <w:rsid w:val="005E6AEA"/>
    <w:rsid w:val="00687081"/>
    <w:rsid w:val="00720D37"/>
    <w:rsid w:val="00735D1C"/>
    <w:rsid w:val="00737A05"/>
    <w:rsid w:val="0078549A"/>
    <w:rsid w:val="007A3064"/>
    <w:rsid w:val="0081526F"/>
    <w:rsid w:val="00892E99"/>
    <w:rsid w:val="008B6235"/>
    <w:rsid w:val="00906D32"/>
    <w:rsid w:val="00933373"/>
    <w:rsid w:val="00A56C97"/>
    <w:rsid w:val="00A81899"/>
    <w:rsid w:val="00CE014C"/>
    <w:rsid w:val="00D81DF7"/>
    <w:rsid w:val="00DE201A"/>
    <w:rsid w:val="00E52EC7"/>
    <w:rsid w:val="00EC6FDB"/>
    <w:rsid w:val="00F72539"/>
    <w:rsid w:val="00FA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4F6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52E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E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06D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D32"/>
  </w:style>
  <w:style w:type="paragraph" w:styleId="CommentSubject">
    <w:name w:val="annotation subject"/>
    <w:basedOn w:val="CommentText"/>
    <w:next w:val="CommentText"/>
    <w:link w:val="CommentSubjectChar"/>
    <w:rsid w:val="00906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6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2017-05-16T20:18:00Z</dcterms:created>
  <dcterms:modified xsi:type="dcterms:W3CDTF">2017-05-16T20:18:00Z</dcterms:modified>
</cp:coreProperties>
</file>