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1E" w:rsidRDefault="00356905">
      <w:pPr>
        <w:spacing w:before="0" w:after="200"/>
        <w:rPr>
          <w:b/>
        </w:rPr>
      </w:pPr>
      <w:r w:rsidRPr="00356905">
        <w:rPr>
          <w:b/>
        </w:rPr>
        <w:t>Abstract:</w:t>
      </w:r>
      <w:r w:rsidR="00B61ABD">
        <w:rPr>
          <w:b/>
        </w:rPr>
        <w:t xml:space="preserve"> </w:t>
      </w:r>
      <w:r w:rsidR="00E9466F">
        <w:rPr>
          <w:b/>
        </w:rPr>
        <w:t xml:space="preserve">  </w:t>
      </w:r>
      <w:r w:rsidR="00B61ABD">
        <w:t xml:space="preserve">Income in respect of </w:t>
      </w:r>
      <w:r w:rsidR="00E9466F">
        <w:t xml:space="preserve">a </w:t>
      </w:r>
      <w:r w:rsidR="00B61ABD">
        <w:t xml:space="preserve">decedent (IRD) </w:t>
      </w:r>
      <w:r w:rsidR="0062652A">
        <w:t>can create a surprisingly high tax bill for those who inherit property</w:t>
      </w:r>
      <w:r w:rsidR="00B61ABD">
        <w:t>, especially substantial distributions from IRAs or retirement plans. This article discusses how IRD works and what taxpayers can do to claim an itemized deduction for estate taxes attributable to amounts reported as IRD.</w:t>
      </w:r>
    </w:p>
    <w:p w:rsidR="00797D1E" w:rsidRDefault="00356905">
      <w:pPr>
        <w:spacing w:before="0" w:after="200"/>
        <w:rPr>
          <w:sz w:val="28"/>
          <w:szCs w:val="28"/>
        </w:rPr>
      </w:pPr>
      <w:r w:rsidRPr="00356905">
        <w:rPr>
          <w:b/>
          <w:sz w:val="28"/>
          <w:szCs w:val="28"/>
        </w:rPr>
        <w:t>Watch out for IRD issues when inheriting money</w:t>
      </w:r>
    </w:p>
    <w:p w:rsidR="00797D1E" w:rsidRDefault="00356905">
      <w:pPr>
        <w:spacing w:before="0" w:after="200"/>
      </w:pPr>
      <w:r>
        <w:t xml:space="preserve">Once a relatively obscure concept, income in respect of </w:t>
      </w:r>
      <w:r w:rsidR="00E9466F">
        <w:t xml:space="preserve">a </w:t>
      </w:r>
      <w:r>
        <w:t xml:space="preserve">decedent (IRD) can </w:t>
      </w:r>
      <w:r w:rsidR="0062652A">
        <w:t xml:space="preserve">create </w:t>
      </w:r>
      <w:r>
        <w:t>a surprising</w:t>
      </w:r>
      <w:r w:rsidR="0062652A">
        <w:t>ly high</w:t>
      </w:r>
      <w:r>
        <w:t xml:space="preserve"> tax bill for </w:t>
      </w:r>
      <w:r w:rsidR="006D068A">
        <w:t xml:space="preserve">those </w:t>
      </w:r>
      <w:r>
        <w:t xml:space="preserve">who inherit </w:t>
      </w:r>
      <w:r w:rsidR="00834AC2">
        <w:t xml:space="preserve">certain types of </w:t>
      </w:r>
      <w:r>
        <w:t>property</w:t>
      </w:r>
      <w:r w:rsidR="00834AC2">
        <w:t>, such as</w:t>
      </w:r>
      <w:r>
        <w:t xml:space="preserve"> IRAs or </w:t>
      </w:r>
      <w:r w:rsidR="009F30BB">
        <w:t xml:space="preserve">other </w:t>
      </w:r>
      <w:r>
        <w:t xml:space="preserve">retirement plans. </w:t>
      </w:r>
      <w:r w:rsidR="00E07D1F">
        <w:t xml:space="preserve">Fortunately, there are ways to </w:t>
      </w:r>
      <w:r>
        <w:t xml:space="preserve">minimize or </w:t>
      </w:r>
      <w:r w:rsidR="00E07D1F">
        <w:t xml:space="preserve">even </w:t>
      </w:r>
      <w:r>
        <w:t xml:space="preserve">eliminate the </w:t>
      </w:r>
      <w:r w:rsidR="00E07D1F">
        <w:t xml:space="preserve">IRD </w:t>
      </w:r>
      <w:r>
        <w:t>tax bite.</w:t>
      </w:r>
    </w:p>
    <w:p w:rsidR="00797D1E" w:rsidRDefault="00356905">
      <w:pPr>
        <w:spacing w:before="0" w:after="200"/>
        <w:rPr>
          <w:b/>
        </w:rPr>
      </w:pPr>
      <w:r w:rsidRPr="006D068A">
        <w:rPr>
          <w:b/>
        </w:rPr>
        <w:t xml:space="preserve">How </w:t>
      </w:r>
      <w:r w:rsidR="00E07D1F" w:rsidRPr="006D068A">
        <w:rPr>
          <w:b/>
        </w:rPr>
        <w:t xml:space="preserve">it </w:t>
      </w:r>
      <w:r w:rsidRPr="006D068A">
        <w:rPr>
          <w:b/>
        </w:rPr>
        <w:t>works</w:t>
      </w:r>
    </w:p>
    <w:p w:rsidR="00797D1E" w:rsidRDefault="00356905">
      <w:pPr>
        <w:spacing w:before="0" w:after="200"/>
      </w:pPr>
      <w:r>
        <w:t>Most inherited property is free from income taxes, but IRD assets are an exception. IRD is income a person was entitled to but hadn’t yet received at the time of his or her death. It includes:</w:t>
      </w:r>
    </w:p>
    <w:p w:rsidR="00797D1E" w:rsidRDefault="00356905">
      <w:pPr>
        <w:pStyle w:val="ListParagraph"/>
        <w:numPr>
          <w:ilvl w:val="0"/>
          <w:numId w:val="3"/>
        </w:numPr>
        <w:tabs>
          <w:tab w:val="left" w:pos="360"/>
        </w:tabs>
        <w:spacing w:before="0" w:after="200"/>
        <w:ind w:left="720"/>
        <w:contextualSpacing w:val="0"/>
      </w:pPr>
      <w:r>
        <w:t>Distributions from tax-deferred retirement accounts, such as 40</w:t>
      </w:r>
      <w:r w:rsidR="006D068A">
        <w:t>1(k)s and IRAs,</w:t>
      </w:r>
    </w:p>
    <w:p w:rsidR="00797D1E" w:rsidRDefault="00356905">
      <w:pPr>
        <w:pStyle w:val="ListParagraph"/>
        <w:numPr>
          <w:ilvl w:val="0"/>
          <w:numId w:val="3"/>
        </w:numPr>
        <w:tabs>
          <w:tab w:val="left" w:pos="360"/>
        </w:tabs>
        <w:spacing w:before="0" w:after="200"/>
        <w:ind w:left="720"/>
        <w:contextualSpacing w:val="0"/>
      </w:pPr>
      <w:r>
        <w:t>Deferred compensation benefits and stock option plans,</w:t>
      </w:r>
    </w:p>
    <w:p w:rsidR="00797D1E" w:rsidRDefault="00356905">
      <w:pPr>
        <w:pStyle w:val="ListParagraph"/>
        <w:numPr>
          <w:ilvl w:val="0"/>
          <w:numId w:val="3"/>
        </w:numPr>
        <w:tabs>
          <w:tab w:val="left" w:pos="360"/>
        </w:tabs>
        <w:spacing w:before="0" w:after="200"/>
        <w:ind w:left="720"/>
        <w:contextualSpacing w:val="0"/>
      </w:pPr>
      <w:r>
        <w:t xml:space="preserve">Unpaid </w:t>
      </w:r>
      <w:r w:rsidR="006D068A">
        <w:t>bonuses, fees and commissions, and</w:t>
      </w:r>
    </w:p>
    <w:p w:rsidR="00797D1E" w:rsidRDefault="00356905">
      <w:pPr>
        <w:pStyle w:val="ListParagraph"/>
        <w:numPr>
          <w:ilvl w:val="0"/>
          <w:numId w:val="3"/>
        </w:numPr>
        <w:tabs>
          <w:tab w:val="left" w:pos="360"/>
        </w:tabs>
        <w:spacing w:before="0" w:after="200"/>
        <w:ind w:left="720"/>
        <w:contextualSpacing w:val="0"/>
      </w:pPr>
      <w:r>
        <w:t>Uncollected salaries, w</w:t>
      </w:r>
      <w:r w:rsidR="006D068A">
        <w:t>ages, and vacation and sick pay.</w:t>
      </w:r>
    </w:p>
    <w:p w:rsidR="00797D1E" w:rsidRDefault="00356905">
      <w:pPr>
        <w:spacing w:before="0" w:after="200"/>
      </w:pPr>
      <w:r>
        <w:t xml:space="preserve">IRD isn’t reported on the deceased’s final </w:t>
      </w:r>
      <w:r w:rsidR="009F30BB">
        <w:t xml:space="preserve">income </w:t>
      </w:r>
      <w:r>
        <w:t xml:space="preserve">tax return, but </w:t>
      </w:r>
      <w:r w:rsidR="006D068A">
        <w:t xml:space="preserve">it’s </w:t>
      </w:r>
      <w:r w:rsidR="009F30BB">
        <w:t xml:space="preserve">included </w:t>
      </w:r>
      <w:r>
        <w:t xml:space="preserve">in his or her </w:t>
      </w:r>
      <w:r w:rsidR="009F30BB">
        <w:t xml:space="preserve">taxable </w:t>
      </w:r>
      <w:r>
        <w:t>estate</w:t>
      </w:r>
      <w:r w:rsidR="00904044">
        <w:t>,</w:t>
      </w:r>
      <w:r w:rsidR="009F30BB">
        <w:t xml:space="preserve"> which </w:t>
      </w:r>
      <w:r w:rsidR="00904044">
        <w:t xml:space="preserve">may generate estate tax liability if the deceased’s estate exceeds the </w:t>
      </w:r>
      <w:r w:rsidR="00904044" w:rsidRPr="008A13BD">
        <w:t>$5.49 m</w:t>
      </w:r>
      <w:r w:rsidR="00904044">
        <w:t xml:space="preserve">illion </w:t>
      </w:r>
      <w:r w:rsidR="004C2676">
        <w:t xml:space="preserve">(for 2017) </w:t>
      </w:r>
      <w:r w:rsidR="00904044">
        <w:t>estate tax exemption</w:t>
      </w:r>
      <w:r w:rsidR="004C2676">
        <w:t>, l</w:t>
      </w:r>
      <w:r w:rsidR="00904044">
        <w:t>ess any gift tax exemption used during life</w:t>
      </w:r>
      <w:r>
        <w:t xml:space="preserve">. </w:t>
      </w:r>
      <w:r w:rsidR="004C2676">
        <w:t xml:space="preserve">(Be aware that President Trump and </w:t>
      </w:r>
      <w:r w:rsidR="00E9466F">
        <w:t>c</w:t>
      </w:r>
      <w:r w:rsidR="004C2676">
        <w:t>ongressional Republicans have proposed an estate tax repeal. It hasn’t been passed as of this writing, but check back with us for the latest information.)</w:t>
      </w:r>
    </w:p>
    <w:p w:rsidR="00797D1E" w:rsidRDefault="00356905">
      <w:pPr>
        <w:spacing w:before="0" w:after="200"/>
      </w:pPr>
      <w:r>
        <w:t xml:space="preserve">Then it’s taxed </w:t>
      </w:r>
      <w:r w:rsidR="004C2676">
        <w:t xml:space="preserve">— </w:t>
      </w:r>
      <w:r w:rsidR="009F30BB">
        <w:t>potentially a second time</w:t>
      </w:r>
      <w:r w:rsidR="004C2676">
        <w:t xml:space="preserve"> —</w:t>
      </w:r>
      <w:r>
        <w:t xml:space="preserve"> as income to th</w:t>
      </w:r>
      <w:r w:rsidR="006D068A">
        <w:t>e beneficiaries who receive it.</w:t>
      </w:r>
      <w:r w:rsidR="00904044">
        <w:t xml:space="preserve"> </w:t>
      </w:r>
      <w:r>
        <w:t>This income retains the character it would have had in the deceased’s hands. So, for example, income the deceased would have reported as long-term capital gains is taxed to the benefici</w:t>
      </w:r>
      <w:r w:rsidR="006D068A">
        <w:t>ary as long-term capital gains.</w:t>
      </w:r>
    </w:p>
    <w:p w:rsidR="00797D1E" w:rsidRDefault="006D068A">
      <w:pPr>
        <w:spacing w:before="0" w:after="200"/>
        <w:rPr>
          <w:b/>
        </w:rPr>
      </w:pPr>
      <w:r w:rsidRPr="006D068A">
        <w:rPr>
          <w:b/>
        </w:rPr>
        <w:t>What can be done</w:t>
      </w:r>
    </w:p>
    <w:p w:rsidR="00797D1E" w:rsidRDefault="004C2676">
      <w:pPr>
        <w:spacing w:before="0" w:after="200"/>
      </w:pPr>
      <w:r>
        <w:t>When IRD generates estate tax liability, t</w:t>
      </w:r>
      <w:r w:rsidR="00356905">
        <w:t>he combination of estate and income taxes can devour an inheritance. The tax code alleviates this double taxation by allowing beneficiaries to claim an itemized deduction for estate taxes attributable to amounts reported as IRD. (The deduction isn’t subject to the 2% floor for misc</w:t>
      </w:r>
      <w:r w:rsidR="006D068A">
        <w:t>ellaneous itemized deductions.)</w:t>
      </w:r>
    </w:p>
    <w:p w:rsidR="00797D1E" w:rsidRDefault="00356905">
      <w:pPr>
        <w:spacing w:before="0" w:after="200"/>
      </w:pPr>
      <w:r>
        <w:t>The estate tax attributable to IRD is equal to the difference between the actual estate tax paid by the estate and the estate tax that would have been payable if the IRD’s net value had been excluded from the estate.</w:t>
      </w:r>
    </w:p>
    <w:p w:rsidR="00797D1E" w:rsidRDefault="00356905">
      <w:pPr>
        <w:spacing w:before="0" w:after="200"/>
      </w:pPr>
      <w:r>
        <w:lastRenderedPageBreak/>
        <w:t xml:space="preserve">Suppose, for instance, </w:t>
      </w:r>
      <w:r w:rsidR="007C4653">
        <w:t xml:space="preserve">that </w:t>
      </w:r>
      <w:r w:rsidR="006D068A">
        <w:t xml:space="preserve">you’re </w:t>
      </w:r>
      <w:r>
        <w:t>the beneficiary of an estate that includes a taxable IRA. If the estate tax is $150,000 with the retirement account and $100,000 without, the estate tax attributable to the IRD income is $50,000. But be careful</w:t>
      </w:r>
      <w:r w:rsidR="00E9466F">
        <w:t>,</w:t>
      </w:r>
      <w:r>
        <w:t xml:space="preserve"> because any deductions in respect of </w:t>
      </w:r>
      <w:r w:rsidR="00E9466F">
        <w:t xml:space="preserve">a </w:t>
      </w:r>
      <w:r>
        <w:t>decedent must also be included when calcu</w:t>
      </w:r>
      <w:r w:rsidR="006D068A">
        <w:t>lating the estate tax impact.</w:t>
      </w:r>
    </w:p>
    <w:p w:rsidR="00797D1E" w:rsidRDefault="00356905">
      <w:pPr>
        <w:spacing w:before="0" w:after="200"/>
      </w:pPr>
      <w:r>
        <w:t>When multiple IRD assets and multiple beneficiaries are involved, complex calculations are necessary to properly allocate the income and deductions. Similarly, when a beneficiary receives IRD over a period of years — IRA distributions, for example — the deduction must be prorated based on the amounts distributed each year.</w:t>
      </w:r>
    </w:p>
    <w:p w:rsidR="00797D1E" w:rsidRDefault="0049653F">
      <w:pPr>
        <w:spacing w:before="0" w:after="200"/>
        <w:rPr>
          <w:b/>
        </w:rPr>
      </w:pPr>
      <w:r>
        <w:rPr>
          <w:b/>
        </w:rPr>
        <w:t>We</w:t>
      </w:r>
      <w:r w:rsidRPr="006D068A">
        <w:rPr>
          <w:b/>
        </w:rPr>
        <w:t xml:space="preserve"> </w:t>
      </w:r>
      <w:r w:rsidR="006D068A" w:rsidRPr="006D068A">
        <w:rPr>
          <w:b/>
        </w:rPr>
        <w:t>can help</w:t>
      </w:r>
    </w:p>
    <w:p w:rsidR="00797D1E" w:rsidRDefault="006D068A">
      <w:pPr>
        <w:spacing w:before="0" w:after="200"/>
      </w:pPr>
      <w:r>
        <w:t xml:space="preserve">If you inherit property that could be considered IRD, please consult our firm for assistance in </w:t>
      </w:r>
      <w:r w:rsidR="00A83149">
        <w:t>managing the tax consequences</w:t>
      </w:r>
      <w:r>
        <w:t>.</w:t>
      </w:r>
      <w:r w:rsidR="00A83149">
        <w:t xml:space="preserve"> </w:t>
      </w:r>
      <w:r>
        <w:t>W</w:t>
      </w:r>
      <w:r w:rsidR="00356905">
        <w:t>ith proper planning</w:t>
      </w:r>
      <w:r w:rsidR="004C2676">
        <w:t>,</w:t>
      </w:r>
      <w:r w:rsidR="00356905">
        <w:t xml:space="preserve"> you</w:t>
      </w:r>
      <w:r>
        <w:t xml:space="preserve"> can keep the cost to a minimum</w:t>
      </w:r>
      <w:r w:rsidR="00356905">
        <w:t>.</w:t>
      </w:r>
    </w:p>
    <w:p w:rsidR="0070327E" w:rsidRPr="0070327E" w:rsidRDefault="0070327E">
      <w:pPr>
        <w:spacing w:before="0" w:after="200"/>
        <w:rPr>
          <w:i/>
        </w:rPr>
      </w:pPr>
      <w:r>
        <w:t xml:space="preserve">© </w:t>
      </w:r>
      <w:r>
        <w:rPr>
          <w:i/>
        </w:rPr>
        <w:t>2017</w:t>
      </w:r>
    </w:p>
    <w:sectPr w:rsidR="0070327E" w:rsidRPr="0070327E"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BB7"/>
    <w:multiLevelType w:val="hybridMultilevel"/>
    <w:tmpl w:val="1BAAA254"/>
    <w:lvl w:ilvl="0" w:tplc="5A7E204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B1478"/>
    <w:multiLevelType w:val="hybridMultilevel"/>
    <w:tmpl w:val="DCE6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F42EF"/>
    <w:multiLevelType w:val="hybridMultilevel"/>
    <w:tmpl w:val="45ECC6B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356905"/>
    <w:rsid w:val="00052C24"/>
    <w:rsid w:val="00083299"/>
    <w:rsid w:val="000E37DC"/>
    <w:rsid w:val="0019604C"/>
    <w:rsid w:val="001B53CA"/>
    <w:rsid w:val="002254F3"/>
    <w:rsid w:val="00356905"/>
    <w:rsid w:val="00396505"/>
    <w:rsid w:val="003E7859"/>
    <w:rsid w:val="00411BB0"/>
    <w:rsid w:val="004548AC"/>
    <w:rsid w:val="0049653F"/>
    <w:rsid w:val="00496C8F"/>
    <w:rsid w:val="004C2676"/>
    <w:rsid w:val="0062652A"/>
    <w:rsid w:val="00652952"/>
    <w:rsid w:val="006D068A"/>
    <w:rsid w:val="0070327E"/>
    <w:rsid w:val="0078549A"/>
    <w:rsid w:val="00797D1E"/>
    <w:rsid w:val="007C4653"/>
    <w:rsid w:val="00834AC2"/>
    <w:rsid w:val="008A13BD"/>
    <w:rsid w:val="008D5DFB"/>
    <w:rsid w:val="00904044"/>
    <w:rsid w:val="00925ABE"/>
    <w:rsid w:val="009B0D8D"/>
    <w:rsid w:val="009F30BB"/>
    <w:rsid w:val="00A170DE"/>
    <w:rsid w:val="00A51FF8"/>
    <w:rsid w:val="00A83149"/>
    <w:rsid w:val="00B61ABD"/>
    <w:rsid w:val="00BF54FD"/>
    <w:rsid w:val="00C52333"/>
    <w:rsid w:val="00CA109D"/>
    <w:rsid w:val="00D80FE6"/>
    <w:rsid w:val="00DE0630"/>
    <w:rsid w:val="00E07D1F"/>
    <w:rsid w:val="00E52173"/>
    <w:rsid w:val="00E9466F"/>
    <w:rsid w:val="00FB3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68A"/>
    <w:pPr>
      <w:ind w:left="720"/>
      <w:contextualSpacing/>
    </w:pPr>
  </w:style>
  <w:style w:type="character" w:styleId="CommentReference">
    <w:name w:val="annotation reference"/>
    <w:basedOn w:val="DefaultParagraphFont"/>
    <w:rsid w:val="009F30BB"/>
    <w:rPr>
      <w:sz w:val="16"/>
      <w:szCs w:val="16"/>
    </w:rPr>
  </w:style>
  <w:style w:type="paragraph" w:styleId="CommentText">
    <w:name w:val="annotation text"/>
    <w:basedOn w:val="Normal"/>
    <w:link w:val="CommentTextChar"/>
    <w:rsid w:val="009F30BB"/>
    <w:rPr>
      <w:sz w:val="20"/>
      <w:szCs w:val="20"/>
    </w:rPr>
  </w:style>
  <w:style w:type="character" w:customStyle="1" w:styleId="CommentTextChar">
    <w:name w:val="Comment Text Char"/>
    <w:basedOn w:val="DefaultParagraphFont"/>
    <w:link w:val="CommentText"/>
    <w:rsid w:val="009F30BB"/>
  </w:style>
  <w:style w:type="paragraph" w:styleId="CommentSubject">
    <w:name w:val="annotation subject"/>
    <w:basedOn w:val="CommentText"/>
    <w:next w:val="CommentText"/>
    <w:link w:val="CommentSubjectChar"/>
    <w:rsid w:val="009F30BB"/>
    <w:rPr>
      <w:b/>
      <w:bCs/>
    </w:rPr>
  </w:style>
  <w:style w:type="character" w:customStyle="1" w:styleId="CommentSubjectChar">
    <w:name w:val="Comment Subject Char"/>
    <w:basedOn w:val="CommentTextChar"/>
    <w:link w:val="CommentSubject"/>
    <w:rsid w:val="009F30BB"/>
    <w:rPr>
      <w:b/>
      <w:bCs/>
    </w:rPr>
  </w:style>
  <w:style w:type="paragraph" w:styleId="BalloonText">
    <w:name w:val="Balloon Text"/>
    <w:basedOn w:val="Normal"/>
    <w:link w:val="BalloonTextChar"/>
    <w:rsid w:val="009F30BB"/>
    <w:pPr>
      <w:spacing w:before="0" w:after="0"/>
    </w:pPr>
    <w:rPr>
      <w:rFonts w:ascii="Tahoma" w:hAnsi="Tahoma" w:cs="Tahoma"/>
      <w:sz w:val="16"/>
      <w:szCs w:val="16"/>
    </w:rPr>
  </w:style>
  <w:style w:type="character" w:customStyle="1" w:styleId="BalloonTextChar">
    <w:name w:val="Balloon Text Char"/>
    <w:basedOn w:val="DefaultParagraphFont"/>
    <w:link w:val="BalloonText"/>
    <w:rsid w:val="009F30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2017-03-16T17:49:00Z</dcterms:created>
  <dcterms:modified xsi:type="dcterms:W3CDTF">2017-03-16T17:50:00Z</dcterms:modified>
</cp:coreProperties>
</file>