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A2" w:rsidRDefault="00AE67BA">
      <w:pPr>
        <w:spacing w:before="0" w:after="200"/>
        <w:rPr>
          <w:b/>
        </w:rPr>
      </w:pPr>
      <w:r w:rsidRPr="001361E5">
        <w:rPr>
          <w:b/>
        </w:rPr>
        <w:t>Abstract:</w:t>
      </w:r>
      <w:r w:rsidR="00741407">
        <w:rPr>
          <w:b/>
        </w:rPr>
        <w:t xml:space="preserve"> </w:t>
      </w:r>
      <w:r w:rsidR="000E6EA5">
        <w:rPr>
          <w:b/>
        </w:rPr>
        <w:t xml:space="preserve">  </w:t>
      </w:r>
      <w:r w:rsidR="00741407" w:rsidRPr="00741407">
        <w:t xml:space="preserve">Businesses that have acquired, constructed or substantially improved a building recently should consider a cost segregation study. One of these studies can enable the company to accelerate depreciation deductions, reducing taxes and boosting cash flow. This article explains how. A sidebar points out that a “look-back” study can review </w:t>
      </w:r>
      <w:r w:rsidR="00741407">
        <w:t xml:space="preserve">many </w:t>
      </w:r>
      <w:r w:rsidR="00741407" w:rsidRPr="00741407">
        <w:t xml:space="preserve">previous </w:t>
      </w:r>
      <w:r w:rsidR="00741407">
        <w:t xml:space="preserve">years of </w:t>
      </w:r>
      <w:r w:rsidR="00741407" w:rsidRPr="00741407">
        <w:t xml:space="preserve">tax filings for missed deductions. </w:t>
      </w:r>
    </w:p>
    <w:p w:rsidR="008D75A2" w:rsidRDefault="00AE67BA">
      <w:pPr>
        <w:spacing w:before="0" w:after="200"/>
        <w:rPr>
          <w:b/>
          <w:sz w:val="28"/>
          <w:szCs w:val="28"/>
        </w:rPr>
      </w:pPr>
      <w:r w:rsidRPr="001361E5">
        <w:rPr>
          <w:b/>
          <w:sz w:val="28"/>
          <w:szCs w:val="28"/>
        </w:rPr>
        <w:t>Could a cost segregation study save your company taxes?</w:t>
      </w:r>
    </w:p>
    <w:p w:rsidR="008D75A2" w:rsidRDefault="001361E5">
      <w:pPr>
        <w:spacing w:before="0" w:after="200"/>
      </w:pPr>
      <w:r>
        <w:t xml:space="preserve">If your business has </w:t>
      </w:r>
      <w:r w:rsidR="00AE67BA">
        <w:t>acquire</w:t>
      </w:r>
      <w:r>
        <w:t>d</w:t>
      </w:r>
      <w:r w:rsidR="00AE67BA">
        <w:t>, construct</w:t>
      </w:r>
      <w:r>
        <w:t>ed</w:t>
      </w:r>
      <w:r w:rsidR="00AE67BA">
        <w:t xml:space="preserve"> or substantially improve</w:t>
      </w:r>
      <w:r>
        <w:t>d</w:t>
      </w:r>
      <w:r w:rsidR="00AE67BA">
        <w:t xml:space="preserve"> a building </w:t>
      </w:r>
      <w:r>
        <w:t xml:space="preserve">recently, </w:t>
      </w:r>
      <w:r w:rsidR="00AE67BA">
        <w:t>con</w:t>
      </w:r>
      <w:r>
        <w:t>sider a cost segregation study.</w:t>
      </w:r>
      <w:r w:rsidR="00124B7D">
        <w:t xml:space="preserve"> One of these </w:t>
      </w:r>
      <w:r w:rsidR="00AE67BA">
        <w:t xml:space="preserve">studies </w:t>
      </w:r>
      <w:r w:rsidR="00124B7D">
        <w:t xml:space="preserve">can enable you to </w:t>
      </w:r>
      <w:r w:rsidR="00AE67BA">
        <w:t xml:space="preserve">identify building costs that are properly allocable to tangible personal property rather than real property. </w:t>
      </w:r>
      <w:r w:rsidR="00124B7D">
        <w:t xml:space="preserve">And this may </w:t>
      </w:r>
      <w:r w:rsidR="00AE67BA">
        <w:t xml:space="preserve">allow you to </w:t>
      </w:r>
      <w:r w:rsidR="00741407">
        <w:t>accelerate depreciation deductions, reducing taxes and boosting cash flow.</w:t>
      </w:r>
    </w:p>
    <w:p w:rsidR="008D75A2" w:rsidRDefault="00A50B0B">
      <w:pPr>
        <w:spacing w:before="0" w:after="200"/>
        <w:rPr>
          <w:b/>
        </w:rPr>
      </w:pPr>
      <w:r>
        <w:rPr>
          <w:b/>
        </w:rPr>
        <w:t>Overlooked opportunities</w:t>
      </w:r>
    </w:p>
    <w:p w:rsidR="008D75A2" w:rsidRDefault="00AE67BA">
      <w:pPr>
        <w:spacing w:before="0" w:after="200"/>
      </w:pPr>
      <w:r>
        <w:t xml:space="preserve">IRS rules generally allow you to depreciate commercial buildings over 39 years (27½ years for residential properties). </w:t>
      </w:r>
      <w:r w:rsidR="001361E5">
        <w:t xml:space="preserve">Often, businesses will </w:t>
      </w:r>
      <w:r>
        <w:t xml:space="preserve">depreciate structural components </w:t>
      </w:r>
      <w:r w:rsidR="001361E5">
        <w:t>(</w:t>
      </w:r>
      <w:r>
        <w:t>such as walls, windows, HVAC systems, elevators, plumbing and wiring</w:t>
      </w:r>
      <w:r w:rsidR="001361E5">
        <w:t>)</w:t>
      </w:r>
      <w:r>
        <w:t xml:space="preserve"> along with the building. </w:t>
      </w:r>
    </w:p>
    <w:p w:rsidR="008D75A2" w:rsidRDefault="00AE67BA">
      <w:pPr>
        <w:spacing w:before="0" w:after="200"/>
      </w:pPr>
      <w:r>
        <w:t>Personal property — such as equipment, machinery, furniture and fixtures —</w:t>
      </w:r>
      <w:r w:rsidR="001F546D">
        <w:t xml:space="preserve"> </w:t>
      </w:r>
      <w:r>
        <w:t>is eligible for accelerated depreciation, usually over five or seven years. And land improvements — fences, outdoor lighting and parking lots, for example — are depreciable over 15 years.</w:t>
      </w:r>
    </w:p>
    <w:p w:rsidR="008D75A2" w:rsidRDefault="00AE67BA">
      <w:pPr>
        <w:spacing w:before="0" w:after="200"/>
      </w:pPr>
      <w:r>
        <w:t xml:space="preserve">Too often, </w:t>
      </w:r>
      <w:r w:rsidR="001361E5">
        <w:t xml:space="preserve">companies </w:t>
      </w:r>
      <w:r>
        <w:t>allocate all or most of a building’s acquisition or construction costs to real property, overlooking opportunities to allocate costs to shorter-lived personal property or land improvements. Items that appear to be part of a building may in fact be personal property</w:t>
      </w:r>
      <w:r w:rsidR="001361E5">
        <w:t>. Examples include:</w:t>
      </w:r>
    </w:p>
    <w:p w:rsidR="008D75A2" w:rsidRDefault="001361E5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R</w:t>
      </w:r>
      <w:r w:rsidR="00AE67BA">
        <w:t>emo</w:t>
      </w:r>
      <w:r>
        <w:t>vable wall and floor coverings,</w:t>
      </w:r>
    </w:p>
    <w:p w:rsidR="008D75A2" w:rsidRDefault="001361E5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Detachable partitions,</w:t>
      </w:r>
    </w:p>
    <w:p w:rsidR="008D75A2" w:rsidRDefault="001361E5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Awnings and canopies,</w:t>
      </w:r>
    </w:p>
    <w:p w:rsidR="008D75A2" w:rsidRDefault="001361E5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Window treatments,</w:t>
      </w:r>
    </w:p>
    <w:p w:rsidR="008D75A2" w:rsidRDefault="001361E5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Signage, and</w:t>
      </w:r>
    </w:p>
    <w:p w:rsidR="008D75A2" w:rsidRDefault="001361E5">
      <w:pPr>
        <w:pStyle w:val="ListParagraph"/>
        <w:numPr>
          <w:ilvl w:val="0"/>
          <w:numId w:val="1"/>
        </w:numPr>
        <w:spacing w:before="0" w:after="200"/>
        <w:ind w:left="360"/>
        <w:contextualSpacing w:val="0"/>
      </w:pPr>
      <w:r>
        <w:t>D</w:t>
      </w:r>
      <w:r w:rsidR="00AE67BA">
        <w:t>ecorative lighting.</w:t>
      </w:r>
    </w:p>
    <w:p w:rsidR="008D75A2" w:rsidRDefault="00AE67BA">
      <w:pPr>
        <w:spacing w:before="0" w:after="200"/>
      </w:pPr>
      <w:r>
        <w:t xml:space="preserve">In addition, certain items that otherwise would be treated as real property may qualify as personal property if they serve more of a business function than a structural purpose. </w:t>
      </w:r>
      <w:r w:rsidR="00FE4658">
        <w:t xml:space="preserve">Examples </w:t>
      </w:r>
      <w:r>
        <w:t xml:space="preserve">include reinforced flooring to support heavy manufacturing equipment, electrical or plumbing installations, </w:t>
      </w:r>
      <w:r w:rsidR="00124B7D">
        <w:t xml:space="preserve">and </w:t>
      </w:r>
      <w:r>
        <w:t xml:space="preserve">dedicated cooling systems for </w:t>
      </w:r>
      <w:r w:rsidR="00124B7D">
        <w:t xml:space="preserve">server </w:t>
      </w:r>
      <w:r>
        <w:t>rooms.</w:t>
      </w:r>
    </w:p>
    <w:p w:rsidR="008D75A2" w:rsidRDefault="004C663F">
      <w:pPr>
        <w:spacing w:before="0" w:after="200"/>
      </w:pPr>
      <w:r>
        <w:rPr>
          <w:b/>
        </w:rPr>
        <w:t>A study in action</w:t>
      </w:r>
    </w:p>
    <w:p w:rsidR="008D75A2" w:rsidRDefault="00A50B0B">
      <w:pPr>
        <w:spacing w:before="0" w:after="200"/>
      </w:pPr>
      <w:r>
        <w:lastRenderedPageBreak/>
        <w:t>L</w:t>
      </w:r>
      <w:r w:rsidR="00AE67BA">
        <w:t>et’s say you acquire</w:t>
      </w:r>
      <w:r>
        <w:t>d</w:t>
      </w:r>
      <w:r w:rsidR="00AE67BA">
        <w:t xml:space="preserve"> a nonresidential commercial building for $5 million on January 1. If the entire purchase price is allocated to 39-year real property, you’re entitled to claim $123,050 (2.461% of $5 million) in depreciation deductions the first year. </w:t>
      </w:r>
    </w:p>
    <w:p w:rsidR="008D75A2" w:rsidRDefault="00AE67BA">
      <w:pPr>
        <w:spacing w:before="0" w:after="200"/>
      </w:pPr>
      <w:r>
        <w:t>A cost segregation study may reveal that you can allocate $1 million in costs to five-year property eligible for accelerated depreciation. Reallocating the purchase price increases your first-year depreciation deductions to $298,440 ($4 million × 2.461%, plus $1 million × 20%).</w:t>
      </w:r>
    </w:p>
    <w:p w:rsidR="008D75A2" w:rsidRDefault="009D701C">
      <w:pPr>
        <w:spacing w:before="0" w:after="200"/>
      </w:pPr>
      <w:r>
        <w:rPr>
          <w:b/>
        </w:rPr>
        <w:t>Impact of tax law changes</w:t>
      </w:r>
    </w:p>
    <w:p w:rsidR="008D75A2" w:rsidRDefault="00BB2159">
      <w:pPr>
        <w:spacing w:before="0" w:after="200"/>
      </w:pPr>
      <w:r>
        <w:t xml:space="preserve">Bear in mind that tax law changes may </w:t>
      </w:r>
      <w:r w:rsidR="008F36B5">
        <w:t>occur this</w:t>
      </w:r>
      <w:r w:rsidR="002020F3">
        <w:t xml:space="preserve"> </w:t>
      </w:r>
      <w:r>
        <w:t>year</w:t>
      </w:r>
      <w:r w:rsidR="009D701C">
        <w:t xml:space="preserve"> that</w:t>
      </w:r>
      <w:r>
        <w:t xml:space="preserve"> could </w:t>
      </w:r>
      <w:r w:rsidR="00591827">
        <w:t xml:space="preserve">significantly </w:t>
      </w:r>
      <w:r w:rsidR="00B31DA2">
        <w:t xml:space="preserve">affect </w:t>
      </w:r>
      <w:r w:rsidR="002804F2">
        <w:t>current</w:t>
      </w:r>
      <w:r w:rsidR="00591827">
        <w:t xml:space="preserve"> depreciation </w:t>
      </w:r>
      <w:r w:rsidR="002804F2">
        <w:t xml:space="preserve">and expensing </w:t>
      </w:r>
      <w:r w:rsidR="00591827">
        <w:t>rules</w:t>
      </w:r>
      <w:r w:rsidR="009D701C">
        <w:t>. This</w:t>
      </w:r>
      <w:r w:rsidR="00B31DA2">
        <w:t xml:space="preserve"> in turn could alter the outcome and importance of a </w:t>
      </w:r>
      <w:r w:rsidR="002804F2">
        <w:t>cost segregation</w:t>
      </w:r>
      <w:r w:rsidR="00652B7B">
        <w:t xml:space="preserve"> study</w:t>
      </w:r>
      <w:r w:rsidR="002804F2">
        <w:t xml:space="preserve">. </w:t>
      </w:r>
      <w:r>
        <w:t>Contact o</w:t>
      </w:r>
      <w:r w:rsidR="002D3168">
        <w:t>ur firm for the latest details.</w:t>
      </w:r>
    </w:p>
    <w:p w:rsidR="008D75A2" w:rsidRDefault="00BB2159">
      <w:pPr>
        <w:spacing w:before="0" w:after="200"/>
      </w:pPr>
      <w:r>
        <w:t xml:space="preserve">On the </w:t>
      </w:r>
      <w:r w:rsidR="00591827">
        <w:t>other hand</w:t>
      </w:r>
      <w:r>
        <w:t xml:space="preserve">, any forthcoming tax law changes likely won’t </w:t>
      </w:r>
      <w:r w:rsidR="00591827">
        <w:t xml:space="preserve">affect </w:t>
      </w:r>
      <w:r>
        <w:t>your ability to claim deductions you may have missed in previous tax years. (For more on this concept, see “It may not be too late: Look-back studies</w:t>
      </w:r>
      <w:r w:rsidR="00755269">
        <w:t>.”</w:t>
      </w:r>
      <w:r>
        <w:t>)</w:t>
      </w:r>
    </w:p>
    <w:p w:rsidR="008D75A2" w:rsidRDefault="00124B7D">
      <w:pPr>
        <w:spacing w:before="0" w:after="200"/>
        <w:rPr>
          <w:b/>
        </w:rPr>
      </w:pPr>
      <w:r>
        <w:rPr>
          <w:b/>
        </w:rPr>
        <w:t xml:space="preserve">Worthy </w:t>
      </w:r>
      <w:r w:rsidR="00A50B0B">
        <w:rPr>
          <w:b/>
        </w:rPr>
        <w:t>effort</w:t>
      </w:r>
    </w:p>
    <w:p w:rsidR="008D75A2" w:rsidRDefault="00124B7D">
      <w:pPr>
        <w:spacing w:before="0" w:after="200"/>
      </w:pPr>
      <w:r>
        <w:t xml:space="preserve">As you might suspect, a cost segregation study will entail some effort in analyzing your building’s structural components and making your case to the IRS. </w:t>
      </w:r>
      <w:r w:rsidR="00B52DBF">
        <w:t>But you’ll likely find it a worthy effort.</w:t>
      </w:r>
    </w:p>
    <w:p w:rsidR="008D75A2" w:rsidRDefault="008D75A2">
      <w:pPr>
        <w:spacing w:before="0" w:after="200"/>
      </w:pPr>
    </w:p>
    <w:p w:rsidR="008D75A2" w:rsidRDefault="00FD4C0D">
      <w:pPr>
        <w:spacing w:before="0" w:after="200"/>
        <w:rPr>
          <w:b/>
          <w:bCs/>
          <w:iCs/>
          <w:sz w:val="28"/>
          <w:szCs w:val="28"/>
        </w:rPr>
      </w:pPr>
      <w:r w:rsidRPr="00FD4C0D">
        <w:rPr>
          <w:b/>
          <w:sz w:val="28"/>
          <w:szCs w:val="28"/>
        </w:rPr>
        <w:t xml:space="preserve">Sidebar: It may not be too late: </w:t>
      </w:r>
      <w:r w:rsidRPr="00FD4C0D">
        <w:rPr>
          <w:b/>
          <w:bCs/>
          <w:iCs/>
          <w:sz w:val="28"/>
          <w:szCs w:val="28"/>
        </w:rPr>
        <w:t>Look-back studies</w:t>
      </w:r>
    </w:p>
    <w:p w:rsidR="008D75A2" w:rsidRDefault="00AE67BA">
      <w:pPr>
        <w:spacing w:before="0" w:after="200"/>
        <w:rPr>
          <w:bCs/>
          <w:iCs/>
        </w:rPr>
      </w:pPr>
      <w:r>
        <w:rPr>
          <w:bCs/>
          <w:iCs/>
        </w:rPr>
        <w:t xml:space="preserve">If your business invested in depreciable buildings or improvements in previous years, </w:t>
      </w:r>
      <w:r w:rsidR="00124B7D">
        <w:rPr>
          <w:bCs/>
          <w:iCs/>
        </w:rPr>
        <w:t xml:space="preserve">it may not be </w:t>
      </w:r>
      <w:r>
        <w:rPr>
          <w:bCs/>
          <w:iCs/>
        </w:rPr>
        <w:t xml:space="preserve">too late to take advantage of a cost segregation study. </w:t>
      </w:r>
      <w:r w:rsidR="00B31DA2">
        <w:rPr>
          <w:bCs/>
          <w:iCs/>
        </w:rPr>
        <w:t>A “look-back” cost segregation study allows you to claim missed deductions in qualifying previous tax years.</w:t>
      </w:r>
    </w:p>
    <w:p w:rsidR="008D75A2" w:rsidRDefault="00AE67BA">
      <w:pPr>
        <w:spacing w:before="0" w:after="200"/>
        <w:rPr>
          <w:bCs/>
          <w:iCs/>
        </w:rPr>
      </w:pPr>
      <w:r>
        <w:rPr>
          <w:bCs/>
          <w:iCs/>
        </w:rPr>
        <w:t xml:space="preserve">To claim these tax benefits, </w:t>
      </w:r>
      <w:r w:rsidR="00124B7D">
        <w:rPr>
          <w:bCs/>
          <w:iCs/>
        </w:rPr>
        <w:t>we can help you file</w:t>
      </w:r>
      <w:r>
        <w:rPr>
          <w:bCs/>
          <w:iCs/>
        </w:rPr>
        <w:t xml:space="preserve"> Form 3115,</w:t>
      </w:r>
      <w:r w:rsidRPr="00DE7B0D">
        <w:rPr>
          <w:bCs/>
          <w:i/>
          <w:iCs/>
        </w:rPr>
        <w:t xml:space="preserve"> </w:t>
      </w:r>
      <w:r>
        <w:rPr>
          <w:bCs/>
          <w:iCs/>
        </w:rPr>
        <w:t>“</w:t>
      </w:r>
      <w:r w:rsidRPr="00637473">
        <w:rPr>
          <w:bCs/>
          <w:iCs/>
        </w:rPr>
        <w:t>Application for Change in Accounting Method,</w:t>
      </w:r>
      <w:r>
        <w:rPr>
          <w:bCs/>
          <w:iCs/>
        </w:rPr>
        <w:t>”</w:t>
      </w:r>
      <w:r w:rsidRPr="00637473">
        <w:rPr>
          <w:bCs/>
          <w:iCs/>
        </w:rPr>
        <w:t xml:space="preserve"> </w:t>
      </w:r>
      <w:r>
        <w:rPr>
          <w:bCs/>
          <w:iCs/>
        </w:rPr>
        <w:t xml:space="preserve">with the IRS and claim a one-time “catch-up” deduction on your current year’s return. </w:t>
      </w:r>
      <w:r w:rsidR="00124B7D">
        <w:rPr>
          <w:bCs/>
          <w:iCs/>
        </w:rPr>
        <w:t xml:space="preserve">There will be </w:t>
      </w:r>
      <w:r>
        <w:rPr>
          <w:bCs/>
          <w:iCs/>
        </w:rPr>
        <w:t>no need to amend previous years’ returns.</w:t>
      </w:r>
    </w:p>
    <w:p w:rsidR="00755269" w:rsidRPr="00755269" w:rsidRDefault="00755269">
      <w:pPr>
        <w:spacing w:before="0" w:after="200"/>
        <w:rPr>
          <w:i/>
        </w:rPr>
      </w:pPr>
      <w:r>
        <w:rPr>
          <w:bCs/>
          <w:iCs/>
        </w:rPr>
        <w:t xml:space="preserve">© </w:t>
      </w:r>
      <w:r>
        <w:rPr>
          <w:bCs/>
          <w:i/>
          <w:iCs/>
        </w:rPr>
        <w:t>2017</w:t>
      </w:r>
    </w:p>
    <w:sectPr w:rsidR="00755269" w:rsidRPr="00755269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F04"/>
    <w:multiLevelType w:val="hybridMultilevel"/>
    <w:tmpl w:val="74E8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E67BA"/>
    <w:rsid w:val="000830E9"/>
    <w:rsid w:val="000C5C6D"/>
    <w:rsid w:val="000E37DC"/>
    <w:rsid w:val="000E6EA5"/>
    <w:rsid w:val="00124B7D"/>
    <w:rsid w:val="001361E5"/>
    <w:rsid w:val="00147AE4"/>
    <w:rsid w:val="001824B4"/>
    <w:rsid w:val="001B53CA"/>
    <w:rsid w:val="001F546D"/>
    <w:rsid w:val="002020F3"/>
    <w:rsid w:val="002135D5"/>
    <w:rsid w:val="002254F3"/>
    <w:rsid w:val="00235FA6"/>
    <w:rsid w:val="002804F2"/>
    <w:rsid w:val="002B3880"/>
    <w:rsid w:val="002D3168"/>
    <w:rsid w:val="00314BA9"/>
    <w:rsid w:val="00337FB7"/>
    <w:rsid w:val="00340129"/>
    <w:rsid w:val="00386BD8"/>
    <w:rsid w:val="003E7859"/>
    <w:rsid w:val="004947EA"/>
    <w:rsid w:val="004C663F"/>
    <w:rsid w:val="0052710F"/>
    <w:rsid w:val="00567B2D"/>
    <w:rsid w:val="00591827"/>
    <w:rsid w:val="00652B7B"/>
    <w:rsid w:val="00741407"/>
    <w:rsid w:val="00755269"/>
    <w:rsid w:val="0078549A"/>
    <w:rsid w:val="007858EC"/>
    <w:rsid w:val="007E55C9"/>
    <w:rsid w:val="00834D33"/>
    <w:rsid w:val="008C317C"/>
    <w:rsid w:val="008D75A2"/>
    <w:rsid w:val="008E7906"/>
    <w:rsid w:val="008F36B5"/>
    <w:rsid w:val="009D701C"/>
    <w:rsid w:val="00A27B9C"/>
    <w:rsid w:val="00A50B0B"/>
    <w:rsid w:val="00A50B83"/>
    <w:rsid w:val="00AE67BA"/>
    <w:rsid w:val="00B114F2"/>
    <w:rsid w:val="00B31DA2"/>
    <w:rsid w:val="00B52DBF"/>
    <w:rsid w:val="00B805A7"/>
    <w:rsid w:val="00BB2159"/>
    <w:rsid w:val="00BC3F77"/>
    <w:rsid w:val="00DD2CCF"/>
    <w:rsid w:val="00E23884"/>
    <w:rsid w:val="00E31DD8"/>
    <w:rsid w:val="00E378A4"/>
    <w:rsid w:val="00E5159D"/>
    <w:rsid w:val="00EB2358"/>
    <w:rsid w:val="00FD4C0D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E5"/>
    <w:pPr>
      <w:ind w:left="720"/>
      <w:contextualSpacing/>
    </w:pPr>
  </w:style>
  <w:style w:type="character" w:styleId="CommentReference">
    <w:name w:val="annotation reference"/>
    <w:basedOn w:val="DefaultParagraphFont"/>
    <w:rsid w:val="001F54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46D"/>
  </w:style>
  <w:style w:type="paragraph" w:styleId="CommentSubject">
    <w:name w:val="annotation subject"/>
    <w:basedOn w:val="CommentText"/>
    <w:next w:val="CommentText"/>
    <w:link w:val="CommentSubjectChar"/>
    <w:rsid w:val="001F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46D"/>
    <w:rPr>
      <w:b/>
      <w:bCs/>
    </w:rPr>
  </w:style>
  <w:style w:type="paragraph" w:styleId="BalloonText">
    <w:name w:val="Balloon Text"/>
    <w:basedOn w:val="Normal"/>
    <w:link w:val="BalloonTextChar"/>
    <w:rsid w:val="001F54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2017-03-16T17:47:00Z</dcterms:created>
  <dcterms:modified xsi:type="dcterms:W3CDTF">2017-03-16T17:48:00Z</dcterms:modified>
</cp:coreProperties>
</file>